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8A633">
      <w:pPr>
        <w:spacing w:line="249" w:lineRule="auto"/>
        <w:rPr>
          <w:rFonts w:ascii="Arial"/>
          <w:sz w:val="21"/>
        </w:rPr>
      </w:pPr>
      <w:bookmarkStart w:id="0" w:name="_GoBack"/>
      <w:bookmarkEnd w:id="0"/>
    </w:p>
    <w:p w14:paraId="5E1101D8">
      <w:pPr>
        <w:spacing w:line="249" w:lineRule="auto"/>
        <w:rPr>
          <w:rFonts w:ascii="Arial"/>
          <w:sz w:val="21"/>
        </w:rPr>
      </w:pPr>
    </w:p>
    <w:p w14:paraId="2B01ACF1">
      <w:pPr>
        <w:spacing w:line="249" w:lineRule="auto"/>
        <w:rPr>
          <w:rFonts w:ascii="Arial"/>
          <w:sz w:val="21"/>
        </w:rPr>
      </w:pPr>
    </w:p>
    <w:p w14:paraId="6E9E89BD">
      <w:pPr>
        <w:spacing w:line="250" w:lineRule="auto"/>
        <w:rPr>
          <w:rFonts w:ascii="Arial"/>
          <w:sz w:val="21"/>
        </w:rPr>
      </w:pPr>
    </w:p>
    <w:p w14:paraId="6E171109">
      <w:pPr>
        <w:spacing w:line="247" w:lineRule="auto"/>
        <w:jc w:val="center"/>
        <w:rPr>
          <w:rFonts w:ascii="Arial"/>
          <w:sz w:val="21"/>
        </w:rPr>
      </w:pPr>
      <w:r>
        <w:rPr>
          <w:rFonts w:hint="eastAsia" w:ascii="微软雅黑" w:hAnsi="微软雅黑" w:eastAsia="微软雅黑" w:cs="微软雅黑"/>
          <w:b/>
          <w:bCs/>
          <w:spacing w:val="9"/>
          <w:sz w:val="47"/>
          <w:szCs w:val="47"/>
        </w:rPr>
        <w:t>Dawei Wireless Rectal Ultrasound</w:t>
      </w:r>
    </w:p>
    <w:p w14:paraId="03CE7CC2">
      <w:pPr>
        <w:spacing w:line="247" w:lineRule="auto"/>
        <w:rPr>
          <w:rFonts w:ascii="Arial"/>
          <w:sz w:val="21"/>
        </w:rPr>
      </w:pPr>
    </w:p>
    <w:p w14:paraId="6D11B5B4">
      <w:pPr>
        <w:spacing w:line="247" w:lineRule="auto"/>
        <w:rPr>
          <w:rFonts w:ascii="Arial"/>
          <w:sz w:val="21"/>
        </w:rPr>
      </w:pPr>
    </w:p>
    <w:p w14:paraId="025CEA35">
      <w:pPr>
        <w:spacing w:line="247" w:lineRule="auto"/>
        <w:rPr>
          <w:rFonts w:ascii="Arial"/>
          <w:sz w:val="21"/>
        </w:rPr>
      </w:pPr>
    </w:p>
    <w:p w14:paraId="3423F820">
      <w:pPr>
        <w:spacing w:line="248" w:lineRule="auto"/>
        <w:rPr>
          <w:rFonts w:ascii="Arial"/>
          <w:sz w:val="21"/>
        </w:rPr>
      </w:pPr>
    </w:p>
    <w:p w14:paraId="19BF0586">
      <w:pPr>
        <w:spacing w:line="5160" w:lineRule="exact"/>
        <w:ind w:firstLine="1077"/>
      </w:pPr>
    </w:p>
    <w:p w14:paraId="0F3252E4">
      <w:pPr>
        <w:spacing w:line="5160" w:lineRule="exact"/>
        <w:sectPr>
          <w:pgSz w:w="16839" w:h="11906"/>
          <w:pgMar w:top="1012" w:right="2186" w:bottom="0" w:left="1454" w:header="0" w:footer="0" w:gutter="0"/>
          <w:cols w:space="720" w:num="1"/>
        </w:sectPr>
      </w:pPr>
    </w:p>
    <w:p w14:paraId="4CE4F2EE">
      <w:pPr>
        <w:spacing w:before="20"/>
      </w:pPr>
    </w:p>
    <w:p w14:paraId="10E6CC8A">
      <w:pPr>
        <w:spacing w:before="20"/>
      </w:pPr>
    </w:p>
    <w:p w14:paraId="30C96FA5">
      <w:pPr>
        <w:spacing w:before="20"/>
      </w:pPr>
    </w:p>
    <w:tbl>
      <w:tblPr>
        <w:tblStyle w:val="4"/>
        <w:tblW w:w="15507" w:type="dxa"/>
        <w:tblInd w:w="12" w:type="dxa"/>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Layout w:type="fixed"/>
        <w:tblCellMar>
          <w:top w:w="0" w:type="dxa"/>
          <w:left w:w="0" w:type="dxa"/>
          <w:bottom w:w="0" w:type="dxa"/>
          <w:right w:w="0" w:type="dxa"/>
        </w:tblCellMar>
      </w:tblPr>
      <w:tblGrid>
        <w:gridCol w:w="14523"/>
        <w:gridCol w:w="984"/>
      </w:tblGrid>
      <w:tr w14:paraId="47CF9510">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749" w:hRule="atLeast"/>
        </w:trPr>
        <w:tc>
          <w:tcPr>
            <w:tcW w:w="14523" w:type="dxa"/>
            <w:tcBorders>
              <w:left w:val="single" w:color="FFFFFF" w:sz="6" w:space="0"/>
            </w:tcBorders>
            <w:shd w:val="clear" w:color="auto" w:fill="95B3D7"/>
            <w:vAlign w:val="top"/>
          </w:tcPr>
          <w:p w14:paraId="00B9C6D8">
            <w:pPr>
              <w:pStyle w:val="5"/>
              <w:spacing w:before="243" w:line="184" w:lineRule="auto"/>
              <w:ind w:left="110"/>
              <w:rPr>
                <w:sz w:val="28"/>
                <w:szCs w:val="28"/>
              </w:rPr>
            </w:pPr>
            <w:r>
              <w:rPr>
                <w:b/>
                <w:bCs/>
                <w:color w:val="FFFFFF"/>
                <w:sz w:val="28"/>
                <w:szCs w:val="28"/>
              </w:rPr>
              <w:t>1. product superiority</w:t>
            </w:r>
          </w:p>
        </w:tc>
        <w:tc>
          <w:tcPr>
            <w:tcW w:w="984" w:type="dxa"/>
            <w:vMerge w:val="restart"/>
            <w:tcBorders>
              <w:left w:val="single" w:color="FFFFFF" w:sz="6" w:space="0"/>
              <w:bottom w:val="nil"/>
              <w:right w:val="nil"/>
            </w:tcBorders>
            <w:vAlign w:val="top"/>
          </w:tcPr>
          <w:p w14:paraId="59B0A190">
            <w:pPr>
              <w:rPr>
                <w:rFonts w:ascii="Arial"/>
                <w:sz w:val="21"/>
              </w:rPr>
            </w:pPr>
          </w:p>
        </w:tc>
      </w:tr>
      <w:tr w14:paraId="7394D548">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7482" w:hRule="atLeast"/>
        </w:trPr>
        <w:tc>
          <w:tcPr>
            <w:tcW w:w="14523" w:type="dxa"/>
            <w:tcBorders>
              <w:right w:val="single" w:color="FFFFFF" w:sz="6" w:space="0"/>
            </w:tcBorders>
            <w:shd w:val="clear" w:color="auto" w:fill="F2F2F2"/>
            <w:vAlign w:val="top"/>
          </w:tcPr>
          <w:p w14:paraId="1723BBF2">
            <w:pPr>
              <w:pStyle w:val="5"/>
              <w:spacing w:before="213" w:line="190" w:lineRule="auto"/>
              <w:ind w:left="115"/>
            </w:pPr>
            <w:r>
              <w:rPr>
                <w:b/>
                <w:bCs/>
                <w:spacing w:val="7"/>
              </w:rPr>
              <w:t>1. The pregnancy of cows can be clearly detected about 27 days after mating, and the ovarian status and uterine condition of cows can be clearly distinguished, which is convenient for the treatment of cows with difficult difficulties;</w:t>
            </w:r>
          </w:p>
          <w:p w14:paraId="7766CFCD">
            <w:pPr>
              <w:spacing w:line="282" w:lineRule="auto"/>
              <w:rPr>
                <w:rFonts w:ascii="Arial"/>
                <w:sz w:val="21"/>
              </w:rPr>
            </w:pPr>
          </w:p>
          <w:p w14:paraId="71AC118F">
            <w:pPr>
              <w:pStyle w:val="5"/>
              <w:spacing w:before="82" w:line="190" w:lineRule="auto"/>
              <w:ind w:left="107"/>
            </w:pPr>
            <w:r>
              <w:rPr>
                <w:b/>
                <w:bCs/>
                <w:spacing w:val="4"/>
              </w:rPr>
              <w:t>2. The host engine is made of high-end chips, waterproof and durable;</w:t>
            </w:r>
          </w:p>
          <w:p w14:paraId="4DFEA6F1">
            <w:pPr>
              <w:spacing w:line="242" w:lineRule="auto"/>
              <w:rPr>
                <w:rFonts w:ascii="Arial"/>
                <w:sz w:val="21"/>
              </w:rPr>
            </w:pPr>
          </w:p>
          <w:p w14:paraId="4C957A1B">
            <w:pPr>
              <w:pStyle w:val="5"/>
              <w:spacing w:before="81" w:line="238" w:lineRule="auto"/>
              <w:ind w:left="112"/>
            </w:pPr>
            <w:r>
              <w:rPr>
                <w:b/>
                <w:bCs/>
                <w:spacing w:val="5"/>
              </w:rPr>
              <w:t>3. Adopt 5G transmission technology, and connect the wireless LAN WI FI to the iPad tablet display mode;</w:t>
            </w:r>
          </w:p>
          <w:p w14:paraId="60BC4A92">
            <w:pPr>
              <w:spacing w:line="258" w:lineRule="auto"/>
              <w:rPr>
                <w:rFonts w:ascii="Arial"/>
                <w:sz w:val="21"/>
              </w:rPr>
            </w:pPr>
          </w:p>
          <w:p w14:paraId="7A622AA5">
            <w:pPr>
              <w:pStyle w:val="5"/>
              <w:spacing w:before="82" w:line="190" w:lineRule="auto"/>
              <w:ind w:left="100"/>
            </w:pPr>
            <w:r>
              <w:rPr>
                <w:b/>
                <w:bCs/>
                <w:spacing w:val="5"/>
              </w:rPr>
              <w:t>4. The display and the B super host are composed of two parts, which can effectively improve the service life of the machine;</w:t>
            </w:r>
          </w:p>
          <w:p w14:paraId="78F03E8B">
            <w:pPr>
              <w:spacing w:line="282" w:lineRule="auto"/>
              <w:rPr>
                <w:rFonts w:ascii="Arial"/>
                <w:sz w:val="21"/>
              </w:rPr>
            </w:pPr>
          </w:p>
          <w:p w14:paraId="3B118DC4">
            <w:pPr>
              <w:pStyle w:val="5"/>
              <w:spacing w:before="82" w:line="190" w:lineRule="auto"/>
              <w:ind w:left="114"/>
            </w:pPr>
            <w:r>
              <w:rPr>
                <w:b/>
                <w:bCs/>
                <w:spacing w:val="4"/>
              </w:rPr>
              <w:t>5. The image transmission speed is fast, there is no delay sense, and the screen display is exquisite;</w:t>
            </w:r>
          </w:p>
          <w:p w14:paraId="64AC6FC2">
            <w:pPr>
              <w:spacing w:line="282" w:lineRule="auto"/>
              <w:rPr>
                <w:rFonts w:ascii="Arial"/>
                <w:sz w:val="21"/>
              </w:rPr>
            </w:pPr>
          </w:p>
          <w:p w14:paraId="50F367A1">
            <w:pPr>
              <w:pStyle w:val="5"/>
              <w:spacing w:before="82" w:line="190" w:lineRule="auto"/>
              <w:ind w:left="108"/>
            </w:pPr>
            <w:r>
              <w:rPr>
                <w:b/>
                <w:bCs/>
                <w:spacing w:val="5"/>
              </w:rPr>
              <w:t>6. The operating system supports remote online upgrade, free update;</w:t>
            </w:r>
          </w:p>
          <w:p w14:paraId="5D161592">
            <w:pPr>
              <w:spacing w:line="282" w:lineRule="auto"/>
              <w:rPr>
                <w:rFonts w:ascii="Arial"/>
                <w:sz w:val="21"/>
              </w:rPr>
            </w:pPr>
          </w:p>
          <w:p w14:paraId="16DDFE8F">
            <w:pPr>
              <w:pStyle w:val="5"/>
              <w:spacing w:before="82" w:line="190" w:lineRule="auto"/>
              <w:ind w:left="106"/>
              <w:rPr>
                <w:rFonts w:hint="default" w:eastAsia="微软雅黑"/>
                <w:color w:val="auto"/>
                <w:lang w:val="en-US" w:eastAsia="zh-CN"/>
              </w:rPr>
            </w:pPr>
            <w:r>
              <w:rPr>
                <w:b/>
                <w:bCs/>
                <w:color w:val="auto"/>
                <w:spacing w:val="7"/>
              </w:rPr>
              <w:t>7. This machine fusion color Doppler ultrasound technology, can be used to observe the ovarian blood flow state;</w:t>
            </w:r>
          </w:p>
          <w:p w14:paraId="50AE1BA3">
            <w:pPr>
              <w:spacing w:line="282" w:lineRule="auto"/>
              <w:rPr>
                <w:rFonts w:ascii="Arial"/>
                <w:color w:val="auto"/>
                <w:sz w:val="21"/>
              </w:rPr>
            </w:pPr>
          </w:p>
          <w:p w14:paraId="33D572DC">
            <w:pPr>
              <w:pStyle w:val="5"/>
              <w:spacing w:before="82" w:line="190" w:lineRule="auto"/>
              <w:ind w:left="105"/>
              <w:rPr>
                <w:color w:val="auto"/>
              </w:rPr>
            </w:pPr>
            <w:r>
              <w:rPr>
                <w:b/>
                <w:bCs/>
                <w:color w:val="auto"/>
                <w:spacing w:val="9"/>
              </w:rPr>
              <w:t>8. Support the preset selection of different animals;</w:t>
            </w:r>
          </w:p>
          <w:p w14:paraId="469FA439">
            <w:pPr>
              <w:spacing w:line="283" w:lineRule="auto"/>
              <w:rPr>
                <w:rFonts w:ascii="Arial"/>
                <w:color w:val="auto"/>
                <w:sz w:val="21"/>
              </w:rPr>
            </w:pPr>
          </w:p>
          <w:p w14:paraId="2E5796EA">
            <w:pPr>
              <w:pStyle w:val="5"/>
              <w:spacing w:before="82" w:line="189" w:lineRule="auto"/>
              <w:ind w:left="105"/>
              <w:rPr>
                <w:color w:val="auto"/>
              </w:rPr>
            </w:pPr>
            <w:r>
              <w:rPr>
                <w:b/>
                <w:bCs/>
                <w:color w:val="auto"/>
                <w:spacing w:val="2"/>
              </w:rPr>
              <w:t>9. Large memory capacity, standard 64G memory, can be selected 256G, easy to save pictures;</w:t>
            </w:r>
          </w:p>
          <w:p w14:paraId="12167011">
            <w:pPr>
              <w:spacing w:line="284" w:lineRule="auto"/>
              <w:rPr>
                <w:rFonts w:ascii="Arial"/>
                <w:sz w:val="21"/>
              </w:rPr>
            </w:pPr>
          </w:p>
          <w:p w14:paraId="7F670704">
            <w:pPr>
              <w:pStyle w:val="5"/>
              <w:spacing w:before="82" w:line="189" w:lineRule="auto"/>
              <w:ind w:left="115"/>
            </w:pPr>
            <w:r>
              <w:rPr>
                <w:b/>
                <w:bCs/>
                <w:spacing w:val="6"/>
              </w:rPr>
              <w:t>10. This machine can save the dynamic video of the tested animals to facilitate the later inspection and comparison;</w:t>
            </w:r>
          </w:p>
          <w:p w14:paraId="7715FC25">
            <w:pPr>
              <w:spacing w:line="282" w:lineRule="auto"/>
              <w:rPr>
                <w:rFonts w:ascii="Arial"/>
                <w:sz w:val="21"/>
              </w:rPr>
            </w:pPr>
          </w:p>
          <w:p w14:paraId="31614F99">
            <w:pPr>
              <w:pStyle w:val="5"/>
              <w:spacing w:before="82" w:line="190" w:lineRule="auto"/>
              <w:ind w:left="115"/>
            </w:pPr>
            <w:r>
              <w:rPr>
                <w:b/>
                <w:bCs/>
                <w:spacing w:val="6"/>
              </w:rPr>
              <w:t>11. Support real-time editing of the cow serial number, which can note the uterine ovary status of the cow test, so as to accurately grasp the situation of the cow;</w:t>
            </w:r>
          </w:p>
          <w:p w14:paraId="573284E0">
            <w:pPr>
              <w:spacing w:line="241" w:lineRule="auto"/>
              <w:rPr>
                <w:rFonts w:ascii="Arial"/>
                <w:sz w:val="21"/>
              </w:rPr>
            </w:pPr>
          </w:p>
          <w:p w14:paraId="433F7C96">
            <w:pPr>
              <w:pStyle w:val="5"/>
              <w:spacing w:before="82" w:line="226" w:lineRule="auto"/>
              <w:ind w:left="115"/>
            </w:pPr>
            <w:r>
              <w:rPr>
                <w:b/>
                <w:bCs/>
                <w:spacing w:val="7"/>
              </w:rPr>
              <w:t>12. Pictures or videos can be uploaded through network software such as wechat / QQ to facilitate statistical management;</w:t>
            </w:r>
          </w:p>
        </w:tc>
        <w:tc>
          <w:tcPr>
            <w:tcW w:w="984" w:type="dxa"/>
            <w:vMerge w:val="continue"/>
            <w:tcBorders>
              <w:top w:val="nil"/>
              <w:left w:val="single" w:color="FFFFFF" w:sz="6" w:space="0"/>
              <w:bottom w:val="nil"/>
              <w:right w:val="nil"/>
            </w:tcBorders>
            <w:vAlign w:val="top"/>
          </w:tcPr>
          <w:p w14:paraId="496DF019">
            <w:pPr>
              <w:rPr>
                <w:rFonts w:ascii="Arial"/>
                <w:sz w:val="21"/>
              </w:rPr>
            </w:pPr>
          </w:p>
        </w:tc>
      </w:tr>
    </w:tbl>
    <w:p w14:paraId="5A9D8215">
      <w:pPr>
        <w:rPr>
          <w:rFonts w:ascii="Arial"/>
          <w:sz w:val="21"/>
        </w:rPr>
      </w:pPr>
    </w:p>
    <w:p w14:paraId="496C296E">
      <w:pPr>
        <w:rPr>
          <w:rFonts w:ascii="Arial" w:hAnsi="Arial" w:eastAsia="Arial" w:cs="Arial"/>
          <w:sz w:val="21"/>
          <w:szCs w:val="21"/>
        </w:rPr>
        <w:sectPr>
          <w:pgSz w:w="16839" w:h="11906"/>
          <w:pgMar w:top="1012" w:right="0" w:bottom="0" w:left="1317" w:header="0" w:footer="0" w:gutter="0"/>
          <w:cols w:space="720" w:num="1"/>
        </w:sectPr>
      </w:pPr>
    </w:p>
    <w:p w14:paraId="597A6E33">
      <w:pPr>
        <w:spacing w:before="20"/>
      </w:pPr>
    </w:p>
    <w:p w14:paraId="3E8AD100">
      <w:pPr>
        <w:spacing w:before="20"/>
      </w:pPr>
    </w:p>
    <w:p w14:paraId="07968AA4">
      <w:pPr>
        <w:spacing w:before="20"/>
      </w:pPr>
    </w:p>
    <w:tbl>
      <w:tblPr>
        <w:tblStyle w:val="4"/>
        <w:tblW w:w="14523" w:type="dxa"/>
        <w:tblInd w:w="7" w:type="dxa"/>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Layout w:type="fixed"/>
        <w:tblCellMar>
          <w:top w:w="0" w:type="dxa"/>
          <w:left w:w="0" w:type="dxa"/>
          <w:bottom w:w="0" w:type="dxa"/>
          <w:right w:w="0" w:type="dxa"/>
        </w:tblCellMar>
      </w:tblPr>
      <w:tblGrid>
        <w:gridCol w:w="1926"/>
        <w:gridCol w:w="12597"/>
      </w:tblGrid>
      <w:tr w14:paraId="6A95E059">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669" w:hRule="atLeast"/>
        </w:trPr>
        <w:tc>
          <w:tcPr>
            <w:tcW w:w="14523" w:type="dxa"/>
            <w:gridSpan w:val="2"/>
            <w:tcBorders>
              <w:top w:val="single" w:color="FFFFFF" w:sz="6" w:space="0"/>
              <w:left w:val="single" w:color="FFFFFF" w:sz="6" w:space="0"/>
              <w:right w:val="nil"/>
            </w:tcBorders>
            <w:shd w:val="clear" w:color="auto" w:fill="95B3D7"/>
            <w:vAlign w:val="top"/>
          </w:tcPr>
          <w:p w14:paraId="76227540">
            <w:pPr>
              <w:pStyle w:val="5"/>
              <w:spacing w:before="207" w:line="184" w:lineRule="auto"/>
              <w:ind w:left="111"/>
              <w:rPr>
                <w:sz w:val="28"/>
                <w:szCs w:val="28"/>
              </w:rPr>
            </w:pPr>
            <w:r>
              <w:rPr>
                <w:b/>
                <w:bCs/>
                <w:color w:val="FFFFFF"/>
                <w:sz w:val="28"/>
                <w:szCs w:val="28"/>
              </w:rPr>
              <w:t>2. technical parameter</w:t>
            </w:r>
          </w:p>
        </w:tc>
      </w:tr>
      <w:tr w14:paraId="2757FA3A">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644" w:hRule="atLeast"/>
        </w:trPr>
        <w:tc>
          <w:tcPr>
            <w:tcW w:w="1926" w:type="dxa"/>
            <w:tcBorders>
              <w:left w:val="single" w:color="FFFFFF" w:sz="6" w:space="0"/>
            </w:tcBorders>
            <w:shd w:val="clear" w:color="auto" w:fill="F2F2F2"/>
            <w:vAlign w:val="top"/>
          </w:tcPr>
          <w:p w14:paraId="1FBBCEAF">
            <w:pPr>
              <w:pStyle w:val="5"/>
              <w:spacing w:before="223" w:line="189" w:lineRule="auto"/>
              <w:ind w:left="530"/>
            </w:pPr>
            <w:r>
              <w:rPr>
                <w:b/>
                <w:bCs/>
                <w:spacing w:val="7"/>
              </w:rPr>
              <w:t>display mode:</w:t>
            </w:r>
          </w:p>
        </w:tc>
        <w:tc>
          <w:tcPr>
            <w:tcW w:w="12597" w:type="dxa"/>
            <w:tcBorders>
              <w:right w:val="nil"/>
            </w:tcBorders>
            <w:shd w:val="clear" w:color="auto" w:fill="F2F2F2"/>
            <w:vAlign w:val="top"/>
          </w:tcPr>
          <w:p w14:paraId="55C5709A">
            <w:pPr>
              <w:pStyle w:val="5"/>
              <w:spacing w:before="181" w:line="238" w:lineRule="auto"/>
              <w:ind w:left="100"/>
            </w:pPr>
            <w:r>
              <w:rPr>
                <w:b/>
                <w:bCs/>
                <w:spacing w:val="9"/>
              </w:rPr>
              <w:t>The iPad tablets, phones, laptops, tablets;</w:t>
            </w:r>
          </w:p>
        </w:tc>
      </w:tr>
      <w:tr w14:paraId="370ED2D2">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645" w:hRule="atLeast"/>
        </w:trPr>
        <w:tc>
          <w:tcPr>
            <w:tcW w:w="1926" w:type="dxa"/>
            <w:tcBorders>
              <w:left w:val="single" w:color="FFFFFF" w:sz="6" w:space="0"/>
            </w:tcBorders>
            <w:shd w:val="clear" w:color="auto" w:fill="F2F2F2"/>
            <w:vAlign w:val="top"/>
          </w:tcPr>
          <w:p w14:paraId="7E146048">
            <w:pPr>
              <w:pStyle w:val="5"/>
              <w:spacing w:before="226" w:line="189" w:lineRule="auto"/>
              <w:ind w:left="556"/>
            </w:pPr>
            <w:r>
              <w:rPr>
                <w:b/>
                <w:bCs/>
                <w:spacing w:val="8"/>
              </w:rPr>
              <w:t>attended mode</w:t>
            </w:r>
          </w:p>
        </w:tc>
        <w:tc>
          <w:tcPr>
            <w:tcW w:w="12597" w:type="dxa"/>
            <w:tcBorders>
              <w:right w:val="nil"/>
            </w:tcBorders>
            <w:shd w:val="clear" w:color="auto" w:fill="F2F2F2"/>
            <w:vAlign w:val="top"/>
          </w:tcPr>
          <w:p w14:paraId="670D888D">
            <w:pPr>
              <w:pStyle w:val="5"/>
              <w:spacing w:before="183" w:line="238" w:lineRule="auto"/>
              <w:ind w:left="92"/>
            </w:pPr>
            <w:r>
              <w:rPr>
                <w:b/>
                <w:bCs/>
                <w:spacing w:val="3"/>
              </w:rPr>
              <w:t>Wireless connection, 5GWiFi frequency band;</w:t>
            </w:r>
          </w:p>
        </w:tc>
      </w:tr>
      <w:tr w14:paraId="2988FD1C">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645" w:hRule="atLeast"/>
        </w:trPr>
        <w:tc>
          <w:tcPr>
            <w:tcW w:w="1926" w:type="dxa"/>
            <w:tcBorders>
              <w:left w:val="single" w:color="FFFFFF" w:sz="6" w:space="0"/>
            </w:tcBorders>
            <w:shd w:val="clear" w:color="auto" w:fill="F2F2F2"/>
            <w:vAlign w:val="top"/>
          </w:tcPr>
          <w:p w14:paraId="33FE83A9">
            <w:pPr>
              <w:pStyle w:val="5"/>
              <w:spacing w:before="229" w:line="188" w:lineRule="auto"/>
              <w:ind w:left="527"/>
            </w:pPr>
            <w:r>
              <w:rPr>
                <w:b/>
                <w:bCs/>
                <w:spacing w:val="7"/>
              </w:rPr>
              <w:t>Probe type:</w:t>
            </w:r>
          </w:p>
        </w:tc>
        <w:tc>
          <w:tcPr>
            <w:tcW w:w="12597" w:type="dxa"/>
            <w:tcBorders>
              <w:right w:val="nil"/>
            </w:tcBorders>
            <w:shd w:val="clear" w:color="auto" w:fill="F2F2F2"/>
            <w:vAlign w:val="top"/>
          </w:tcPr>
          <w:p w14:paraId="44C2F7AB">
            <w:pPr>
              <w:pStyle w:val="5"/>
              <w:spacing w:before="227" w:line="190" w:lineRule="auto"/>
              <w:ind w:left="91"/>
            </w:pPr>
            <w:r>
              <w:rPr>
                <w:b/>
                <w:bCs/>
                <w:spacing w:val="6"/>
              </w:rPr>
              <w:t>Array probe, convex array probe;</w:t>
            </w:r>
          </w:p>
        </w:tc>
      </w:tr>
      <w:tr w14:paraId="57FB2F29">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1249" w:hRule="atLeast"/>
        </w:trPr>
        <w:tc>
          <w:tcPr>
            <w:tcW w:w="1926" w:type="dxa"/>
            <w:tcBorders>
              <w:left w:val="single" w:color="FFFFFF" w:sz="6" w:space="0"/>
            </w:tcBorders>
            <w:shd w:val="clear" w:color="auto" w:fill="F2F2F2"/>
            <w:vAlign w:val="top"/>
          </w:tcPr>
          <w:p w14:paraId="7905E2C2">
            <w:pPr>
              <w:spacing w:line="450" w:lineRule="auto"/>
              <w:rPr>
                <w:rFonts w:ascii="Arial"/>
                <w:sz w:val="21"/>
              </w:rPr>
            </w:pPr>
          </w:p>
          <w:p w14:paraId="23B6BE75">
            <w:pPr>
              <w:pStyle w:val="5"/>
              <w:spacing w:before="82" w:line="189" w:lineRule="auto"/>
              <w:ind w:left="455"/>
            </w:pPr>
            <w:r>
              <w:rPr>
                <w:b/>
                <w:bCs/>
                <w:spacing w:val="7"/>
              </w:rPr>
              <w:t>Imaging mode:</w:t>
            </w:r>
          </w:p>
        </w:tc>
        <w:tc>
          <w:tcPr>
            <w:tcW w:w="12597" w:type="dxa"/>
            <w:tcBorders>
              <w:right w:val="nil"/>
            </w:tcBorders>
            <w:shd w:val="clear" w:color="auto" w:fill="F2F2F2"/>
            <w:vAlign w:val="top"/>
          </w:tcPr>
          <w:p w14:paraId="7680E9C0">
            <w:pPr>
              <w:pStyle w:val="5"/>
              <w:spacing w:before="223" w:line="189" w:lineRule="auto"/>
              <w:ind w:left="106"/>
              <w:rPr>
                <w:rFonts w:hint="eastAsia" w:eastAsia="微软雅黑"/>
                <w:highlight w:val="yellow"/>
                <w:lang w:eastAsia="zh-CN"/>
              </w:rPr>
            </w:pPr>
            <w:r>
              <w:rPr>
                <w:b/>
                <w:bCs/>
                <w:highlight w:val="yellow"/>
              </w:rPr>
              <w:t>S-Series: Support: B (no use)</w:t>
            </w:r>
          </w:p>
          <w:p w14:paraId="02706ED3">
            <w:pPr>
              <w:spacing w:line="242" w:lineRule="auto"/>
              <w:rPr>
                <w:rFonts w:ascii="Arial"/>
                <w:sz w:val="21"/>
              </w:rPr>
            </w:pPr>
          </w:p>
          <w:p w14:paraId="5DE7ACAC">
            <w:pPr>
              <w:pStyle w:val="5"/>
              <w:spacing w:before="81" w:line="238" w:lineRule="auto"/>
              <w:ind w:left="106"/>
            </w:pPr>
            <w:r>
              <w:rPr>
                <w:b/>
                <w:bCs/>
                <w:spacing w:val="2"/>
              </w:rPr>
              <w:t>N series: support: B, Color, pseudo-color mode;</w:t>
            </w:r>
          </w:p>
        </w:tc>
      </w:tr>
      <w:tr w14:paraId="699B2502">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645" w:hRule="atLeast"/>
        </w:trPr>
        <w:tc>
          <w:tcPr>
            <w:tcW w:w="1926" w:type="dxa"/>
            <w:tcBorders>
              <w:left w:val="single" w:color="FFFFFF" w:sz="6" w:space="0"/>
            </w:tcBorders>
            <w:shd w:val="clear" w:color="auto" w:fill="F2F2F2"/>
            <w:vAlign w:val="top"/>
          </w:tcPr>
          <w:p w14:paraId="5BDAEEAD">
            <w:pPr>
              <w:pStyle w:val="5"/>
              <w:spacing w:before="235" w:line="189" w:lineRule="auto"/>
              <w:ind w:left="527"/>
            </w:pPr>
            <w:r>
              <w:rPr>
                <w:b/>
                <w:bCs/>
                <w:spacing w:val="7"/>
              </w:rPr>
              <w:t>Video storage:</w:t>
            </w:r>
          </w:p>
        </w:tc>
        <w:tc>
          <w:tcPr>
            <w:tcW w:w="12597" w:type="dxa"/>
            <w:tcBorders>
              <w:right w:val="nil"/>
            </w:tcBorders>
            <w:shd w:val="clear" w:color="auto" w:fill="F2F2F2"/>
            <w:vAlign w:val="top"/>
          </w:tcPr>
          <w:p w14:paraId="389159E4">
            <w:pPr>
              <w:pStyle w:val="5"/>
              <w:spacing w:before="192" w:line="239" w:lineRule="auto"/>
              <w:ind w:left="92"/>
            </w:pPr>
            <w:r>
              <w:rPr>
                <w:b/>
                <w:bCs/>
                <w:spacing w:val="4"/>
              </w:rPr>
              <w:t>Dynamic for 15 seconds / unit;</w:t>
            </w:r>
          </w:p>
        </w:tc>
      </w:tr>
      <w:tr w14:paraId="09799EB0">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645" w:hRule="atLeast"/>
        </w:trPr>
        <w:tc>
          <w:tcPr>
            <w:tcW w:w="1926" w:type="dxa"/>
            <w:tcBorders>
              <w:left w:val="single" w:color="FFFFFF" w:sz="6" w:space="0"/>
            </w:tcBorders>
            <w:shd w:val="clear" w:color="auto" w:fill="F2F2F2"/>
            <w:vAlign w:val="top"/>
          </w:tcPr>
          <w:p w14:paraId="1EAF10B9">
            <w:pPr>
              <w:pStyle w:val="5"/>
              <w:spacing w:before="236" w:line="190" w:lineRule="auto"/>
              <w:ind w:left="527"/>
            </w:pPr>
            <w:r>
              <w:rPr>
                <w:b/>
                <w:bCs/>
                <w:spacing w:val="7"/>
              </w:rPr>
              <w:t>Key operation:</w:t>
            </w:r>
          </w:p>
        </w:tc>
        <w:tc>
          <w:tcPr>
            <w:tcW w:w="12597" w:type="dxa"/>
            <w:tcBorders>
              <w:right w:val="nil"/>
            </w:tcBorders>
            <w:shd w:val="clear" w:color="auto" w:fill="F2F2F2"/>
            <w:vAlign w:val="top"/>
          </w:tcPr>
          <w:p w14:paraId="02210C0A">
            <w:pPr>
              <w:pStyle w:val="5"/>
              <w:spacing w:before="236" w:line="190" w:lineRule="auto"/>
              <w:ind w:left="90"/>
            </w:pPr>
            <w:r>
              <w:rPr>
                <w:b/>
                <w:bCs/>
                <w:spacing w:val="5"/>
              </w:rPr>
              <w:t>touch control;</w:t>
            </w:r>
          </w:p>
        </w:tc>
      </w:tr>
      <w:tr w14:paraId="1A87D7CC">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645" w:hRule="atLeast"/>
        </w:trPr>
        <w:tc>
          <w:tcPr>
            <w:tcW w:w="1926" w:type="dxa"/>
            <w:tcBorders>
              <w:left w:val="single" w:color="FFFFFF" w:sz="6" w:space="0"/>
            </w:tcBorders>
            <w:shd w:val="clear" w:color="auto" w:fill="F2F2F2"/>
            <w:vAlign w:val="top"/>
          </w:tcPr>
          <w:p w14:paraId="1E883867">
            <w:pPr>
              <w:pStyle w:val="5"/>
              <w:spacing w:before="238" w:line="190" w:lineRule="auto"/>
              <w:ind w:left="456"/>
            </w:pPr>
            <w:r>
              <w:rPr>
                <w:b/>
                <w:bCs/>
                <w:spacing w:val="7"/>
              </w:rPr>
              <w:t>Charging method:</w:t>
            </w:r>
          </w:p>
        </w:tc>
        <w:tc>
          <w:tcPr>
            <w:tcW w:w="12597" w:type="dxa"/>
            <w:tcBorders>
              <w:right w:val="nil"/>
            </w:tcBorders>
            <w:shd w:val="clear" w:color="auto" w:fill="F2F2F2"/>
            <w:vAlign w:val="top"/>
          </w:tcPr>
          <w:p w14:paraId="5654D788">
            <w:pPr>
              <w:pStyle w:val="5"/>
              <w:spacing w:before="197" w:line="222" w:lineRule="auto"/>
              <w:ind w:left="92"/>
            </w:pPr>
            <w:r>
              <w:rPr>
                <w:b/>
                <w:bCs/>
                <w:spacing w:val="13"/>
              </w:rPr>
              <w:t>Wireless charging / Type-c data cable for charging;</w:t>
            </w:r>
          </w:p>
        </w:tc>
      </w:tr>
      <w:tr w14:paraId="7E20E9FB">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1249" w:hRule="atLeast"/>
        </w:trPr>
        <w:tc>
          <w:tcPr>
            <w:tcW w:w="1926" w:type="dxa"/>
            <w:tcBorders>
              <w:left w:val="single" w:color="FFFFFF" w:sz="6" w:space="0"/>
            </w:tcBorders>
            <w:shd w:val="clear" w:color="auto" w:fill="F2F2F2"/>
            <w:vAlign w:val="top"/>
          </w:tcPr>
          <w:p w14:paraId="7A19FB0B">
            <w:pPr>
              <w:spacing w:line="458" w:lineRule="auto"/>
              <w:rPr>
                <w:rFonts w:ascii="Arial"/>
                <w:sz w:val="21"/>
              </w:rPr>
            </w:pPr>
          </w:p>
          <w:p w14:paraId="124BDE71">
            <w:pPr>
              <w:pStyle w:val="5"/>
              <w:spacing w:before="81" w:line="190" w:lineRule="auto"/>
              <w:ind w:left="527"/>
            </w:pPr>
            <w:r>
              <w:rPr>
                <w:b/>
                <w:bCs/>
                <w:spacing w:val="7"/>
              </w:rPr>
              <w:t>Battery life:</w:t>
            </w:r>
          </w:p>
        </w:tc>
        <w:tc>
          <w:tcPr>
            <w:tcW w:w="12597" w:type="dxa"/>
            <w:tcBorders>
              <w:right w:val="nil"/>
            </w:tcBorders>
            <w:shd w:val="clear" w:color="auto" w:fill="F2F2F2"/>
            <w:vAlign w:val="top"/>
          </w:tcPr>
          <w:p w14:paraId="10B4A774">
            <w:pPr>
              <w:pStyle w:val="5"/>
              <w:spacing w:before="231" w:line="371" w:lineRule="auto"/>
              <w:ind w:left="106" w:right="10201"/>
              <w:rPr>
                <w:rFonts w:hint="eastAsia"/>
                <w:b/>
                <w:bCs/>
                <w:spacing w:val="13"/>
                <w:lang w:val="en-US" w:eastAsia="zh-CN"/>
              </w:rPr>
            </w:pPr>
            <w:r>
              <w:rPr>
                <w:b/>
                <w:bCs/>
                <w:highlight w:val="yellow"/>
              </w:rPr>
              <w:t>S series: about 3.5 hours; (no use)</w:t>
            </w:r>
          </w:p>
          <w:p w14:paraId="0CE3137C">
            <w:pPr>
              <w:pStyle w:val="5"/>
              <w:spacing w:before="231" w:line="371" w:lineRule="auto"/>
              <w:ind w:left="106" w:right="10201"/>
            </w:pPr>
            <w:r>
              <w:rPr>
                <w:b/>
                <w:bCs/>
              </w:rPr>
              <w:t>N series: about 6 hours;</w:t>
            </w:r>
          </w:p>
        </w:tc>
      </w:tr>
      <w:tr w14:paraId="3D6A8CA9">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657" w:hRule="atLeast"/>
        </w:trPr>
        <w:tc>
          <w:tcPr>
            <w:tcW w:w="1926" w:type="dxa"/>
            <w:tcBorders>
              <w:left w:val="single" w:color="FFFFFF" w:sz="6" w:space="0"/>
            </w:tcBorders>
            <w:shd w:val="clear" w:color="auto" w:fill="F2F2F2"/>
            <w:vAlign w:val="top"/>
          </w:tcPr>
          <w:p w14:paraId="0D22BC35">
            <w:pPr>
              <w:pStyle w:val="5"/>
              <w:spacing w:before="244" w:line="189" w:lineRule="auto"/>
              <w:ind w:left="535"/>
            </w:pPr>
            <w:r>
              <w:rPr>
                <w:b/>
                <w:bCs/>
                <w:spacing w:val="6"/>
              </w:rPr>
              <w:t>classification of waterproof:</w:t>
            </w:r>
          </w:p>
        </w:tc>
        <w:tc>
          <w:tcPr>
            <w:tcW w:w="12597" w:type="dxa"/>
            <w:tcBorders>
              <w:right w:val="nil"/>
            </w:tcBorders>
            <w:shd w:val="clear" w:color="auto" w:fill="F2F2F2"/>
            <w:vAlign w:val="top"/>
          </w:tcPr>
          <w:p w14:paraId="68D490A0">
            <w:pPr>
              <w:pStyle w:val="5"/>
              <w:spacing w:before="201" w:line="239" w:lineRule="auto"/>
              <w:ind w:left="106"/>
            </w:pPr>
            <w:r>
              <w:rPr>
                <w:b/>
                <w:bCs/>
              </w:rPr>
              <w:t>IPX 7;</w:t>
            </w:r>
          </w:p>
        </w:tc>
      </w:tr>
    </w:tbl>
    <w:p w14:paraId="07DA4B1E">
      <w:pPr>
        <w:rPr>
          <w:rFonts w:ascii="Arial"/>
          <w:sz w:val="21"/>
        </w:rPr>
      </w:pPr>
    </w:p>
    <w:p w14:paraId="04CFAE4B">
      <w:pPr>
        <w:rPr>
          <w:rFonts w:ascii="Arial" w:hAnsi="Arial" w:eastAsia="Arial" w:cs="Arial"/>
          <w:sz w:val="21"/>
          <w:szCs w:val="21"/>
        </w:rPr>
        <w:sectPr>
          <w:pgSz w:w="16839" w:h="11906"/>
          <w:pgMar w:top="1012" w:right="984" w:bottom="0" w:left="1322" w:header="0" w:footer="0" w:gutter="0"/>
          <w:cols w:space="720" w:num="1"/>
        </w:sectPr>
      </w:pPr>
    </w:p>
    <w:p w14:paraId="5A820265">
      <w:pPr>
        <w:spacing w:before="20"/>
      </w:pPr>
    </w:p>
    <w:p w14:paraId="6FD1AE96">
      <w:pPr>
        <w:spacing w:before="20"/>
      </w:pPr>
    </w:p>
    <w:p w14:paraId="7DED650D">
      <w:pPr>
        <w:spacing w:before="20"/>
      </w:pPr>
    </w:p>
    <w:tbl>
      <w:tblPr>
        <w:tblStyle w:val="4"/>
        <w:tblW w:w="14523" w:type="dxa"/>
        <w:tblInd w:w="7" w:type="dxa"/>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Layout w:type="fixed"/>
        <w:tblCellMar>
          <w:top w:w="0" w:type="dxa"/>
          <w:left w:w="0" w:type="dxa"/>
          <w:bottom w:w="0" w:type="dxa"/>
          <w:right w:w="0" w:type="dxa"/>
        </w:tblCellMar>
      </w:tblPr>
      <w:tblGrid>
        <w:gridCol w:w="1926"/>
        <w:gridCol w:w="12597"/>
      </w:tblGrid>
      <w:tr w14:paraId="72F220B2">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659" w:hRule="atLeast"/>
        </w:trPr>
        <w:tc>
          <w:tcPr>
            <w:tcW w:w="1926" w:type="dxa"/>
            <w:tcBorders>
              <w:left w:val="single" w:color="FFFFFF" w:sz="6" w:space="0"/>
            </w:tcBorders>
            <w:shd w:val="clear" w:color="auto" w:fill="F2F2F2"/>
            <w:vAlign w:val="top"/>
          </w:tcPr>
          <w:p w14:paraId="2A0D228D">
            <w:pPr>
              <w:pStyle w:val="5"/>
              <w:spacing w:before="235" w:line="189" w:lineRule="auto"/>
              <w:ind w:left="527"/>
            </w:pPr>
            <w:r>
              <w:rPr>
                <w:b/>
                <w:bCs/>
                <w:spacing w:val="7"/>
              </w:rPr>
              <w:t>Measurement module:</w:t>
            </w:r>
          </w:p>
        </w:tc>
        <w:tc>
          <w:tcPr>
            <w:tcW w:w="12597" w:type="dxa"/>
            <w:tcBorders>
              <w:right w:val="nil"/>
            </w:tcBorders>
            <w:shd w:val="clear" w:color="auto" w:fill="F2F2F2"/>
            <w:vAlign w:val="top"/>
          </w:tcPr>
          <w:p w14:paraId="1FAB4B39">
            <w:pPr>
              <w:pStyle w:val="5"/>
              <w:spacing w:before="192" w:line="238" w:lineRule="auto"/>
              <w:ind w:left="94"/>
            </w:pPr>
            <w:r>
              <w:rPr>
                <w:b/>
                <w:bCs/>
                <w:spacing w:val="8"/>
              </w:rPr>
              <w:t>Length, area / circumference, trajectory, etc.;</w:t>
            </w:r>
          </w:p>
        </w:tc>
      </w:tr>
      <w:tr w14:paraId="12353B35">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644" w:hRule="atLeast"/>
        </w:trPr>
        <w:tc>
          <w:tcPr>
            <w:tcW w:w="1926" w:type="dxa"/>
            <w:tcBorders>
              <w:left w:val="single" w:color="FFFFFF" w:sz="6" w:space="0"/>
            </w:tcBorders>
            <w:shd w:val="clear" w:color="auto" w:fill="F2F2F2"/>
            <w:vAlign w:val="top"/>
          </w:tcPr>
          <w:p w14:paraId="794E0DB9">
            <w:pPr>
              <w:pStyle w:val="5"/>
              <w:spacing w:before="223" w:line="189" w:lineRule="auto"/>
              <w:ind w:left="536"/>
            </w:pPr>
            <w:r>
              <w:rPr>
                <w:b/>
                <w:bCs/>
                <w:spacing w:val="6"/>
              </w:rPr>
              <w:t>image processing:</w:t>
            </w:r>
          </w:p>
        </w:tc>
        <w:tc>
          <w:tcPr>
            <w:tcW w:w="12597" w:type="dxa"/>
            <w:tcBorders>
              <w:right w:val="nil"/>
            </w:tcBorders>
            <w:shd w:val="clear" w:color="auto" w:fill="F2F2F2"/>
            <w:vAlign w:val="top"/>
          </w:tcPr>
          <w:p w14:paraId="4A0612E4">
            <w:pPr>
              <w:pStyle w:val="5"/>
              <w:spacing w:before="222" w:line="190" w:lineRule="auto"/>
              <w:ind w:left="100"/>
            </w:pPr>
            <w:r>
              <w:rPr>
                <w:b/>
                <w:bCs/>
                <w:spacing w:val="8"/>
              </w:rPr>
              <w:t>Image enhancement, harmonic imaging, focus imaging, etc.;</w:t>
            </w:r>
          </w:p>
        </w:tc>
      </w:tr>
      <w:tr w14:paraId="54606447">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1249" w:hRule="atLeast"/>
        </w:trPr>
        <w:tc>
          <w:tcPr>
            <w:tcW w:w="1926" w:type="dxa"/>
            <w:tcBorders>
              <w:left w:val="single" w:color="FFFFFF" w:sz="6" w:space="0"/>
            </w:tcBorders>
            <w:shd w:val="clear" w:color="auto" w:fill="F2F2F2"/>
            <w:vAlign w:val="top"/>
          </w:tcPr>
          <w:p w14:paraId="0CAEA9A7">
            <w:pPr>
              <w:spacing w:line="445" w:lineRule="auto"/>
              <w:rPr>
                <w:rFonts w:ascii="Arial"/>
                <w:sz w:val="21"/>
              </w:rPr>
            </w:pPr>
          </w:p>
          <w:p w14:paraId="2180F4AA">
            <w:pPr>
              <w:pStyle w:val="5"/>
              <w:spacing w:before="82" w:line="190" w:lineRule="auto"/>
              <w:ind w:left="457"/>
            </w:pPr>
            <w:r>
              <w:rPr>
                <w:b/>
                <w:bCs/>
                <w:spacing w:val="6"/>
              </w:rPr>
              <w:t>Host size:</w:t>
            </w:r>
          </w:p>
        </w:tc>
        <w:tc>
          <w:tcPr>
            <w:tcW w:w="12597" w:type="dxa"/>
            <w:tcBorders>
              <w:right w:val="nil"/>
            </w:tcBorders>
            <w:shd w:val="clear" w:color="auto" w:fill="F2F2F2"/>
            <w:vAlign w:val="top"/>
          </w:tcPr>
          <w:p w14:paraId="464ED210">
            <w:pPr>
              <w:pStyle w:val="5"/>
              <w:spacing w:before="176" w:line="391" w:lineRule="auto"/>
              <w:ind w:left="106" w:right="7884"/>
              <w:rPr>
                <w:b/>
                <w:bCs/>
              </w:rPr>
            </w:pPr>
            <w:r>
              <w:rPr>
                <w:b/>
                <w:bCs/>
                <w:spacing w:val="5"/>
              </w:rPr>
              <w:t>S-Series: approximately 135mm (L) x69mm (w) x24mm (H)</w:t>
            </w:r>
          </w:p>
          <w:p w14:paraId="55E622B4">
            <w:pPr>
              <w:pStyle w:val="5"/>
              <w:spacing w:before="176" w:line="391" w:lineRule="auto"/>
              <w:ind w:left="106" w:right="7884"/>
            </w:pPr>
            <w:r>
              <w:rPr>
                <w:b/>
                <w:bCs/>
                <w:spacing w:val="5"/>
              </w:rPr>
              <w:t>N-series: approx. 168mm (L) x72mm (w) x33mm (H)</w:t>
            </w:r>
          </w:p>
        </w:tc>
      </w:tr>
      <w:tr w14:paraId="7F33AB0D">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1249" w:hRule="atLeast"/>
        </w:trPr>
        <w:tc>
          <w:tcPr>
            <w:tcW w:w="1926" w:type="dxa"/>
            <w:tcBorders>
              <w:left w:val="single" w:color="FFFFFF" w:sz="6" w:space="0"/>
            </w:tcBorders>
            <w:shd w:val="clear" w:color="auto" w:fill="F2F2F2"/>
            <w:vAlign w:val="top"/>
          </w:tcPr>
          <w:p w14:paraId="39B61A8F">
            <w:pPr>
              <w:spacing w:line="456" w:lineRule="auto"/>
              <w:rPr>
                <w:rFonts w:ascii="Arial"/>
                <w:sz w:val="21"/>
              </w:rPr>
            </w:pPr>
          </w:p>
          <w:p w14:paraId="13071E1F">
            <w:pPr>
              <w:pStyle w:val="5"/>
              <w:spacing w:before="81" w:line="184" w:lineRule="auto"/>
              <w:ind w:left="655"/>
            </w:pPr>
            <w:r>
              <w:rPr>
                <w:b/>
                <w:bCs/>
                <w:spacing w:val="4"/>
              </w:rPr>
              <w:t>weight:</w:t>
            </w:r>
          </w:p>
        </w:tc>
        <w:tc>
          <w:tcPr>
            <w:tcW w:w="12597" w:type="dxa"/>
            <w:tcBorders>
              <w:right w:val="nil"/>
            </w:tcBorders>
            <w:shd w:val="clear" w:color="auto" w:fill="F2F2F2"/>
            <w:vAlign w:val="top"/>
          </w:tcPr>
          <w:p w14:paraId="380769DF">
            <w:pPr>
              <w:pStyle w:val="5"/>
              <w:spacing w:before="179" w:line="390" w:lineRule="auto"/>
              <w:ind w:left="106" w:right="9399"/>
              <w:rPr>
                <w:b/>
                <w:bCs/>
                <w:spacing w:val="7"/>
              </w:rPr>
            </w:pPr>
            <w:r>
              <w:rPr>
                <w:b/>
                <w:bCs/>
                <w:color w:val="0000FF"/>
                <w:highlight w:val="yellow"/>
              </w:rPr>
              <w:t>S series: about 145g (excluding probe) (no use)</w:t>
            </w:r>
          </w:p>
          <w:p w14:paraId="415B83F6">
            <w:pPr>
              <w:pStyle w:val="5"/>
              <w:spacing w:before="179" w:line="390" w:lineRule="auto"/>
              <w:ind w:right="9399"/>
            </w:pPr>
            <w:r>
              <w:rPr>
                <w:b/>
                <w:bCs/>
              </w:rPr>
              <w:t>N series: about 190g (without probe)</w:t>
            </w:r>
          </w:p>
        </w:tc>
      </w:tr>
      <w:tr w14:paraId="4FB3D910">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645" w:hRule="atLeast"/>
        </w:trPr>
        <w:tc>
          <w:tcPr>
            <w:tcW w:w="14523" w:type="dxa"/>
            <w:gridSpan w:val="2"/>
            <w:tcBorders>
              <w:left w:val="single" w:color="FFFFFF" w:sz="6" w:space="0"/>
              <w:right w:val="nil"/>
            </w:tcBorders>
            <w:shd w:val="clear" w:color="auto" w:fill="95B3D7"/>
            <w:vAlign w:val="top"/>
          </w:tcPr>
          <w:p w14:paraId="5040DA05">
            <w:pPr>
              <w:pStyle w:val="5"/>
              <w:spacing w:before="196" w:line="184" w:lineRule="auto"/>
              <w:ind w:left="110"/>
              <w:rPr>
                <w:sz w:val="28"/>
                <w:szCs w:val="28"/>
              </w:rPr>
            </w:pPr>
            <w:r>
              <w:rPr>
                <w:b/>
                <w:bCs/>
                <w:color w:val="FFFFFF"/>
                <w:sz w:val="28"/>
                <w:szCs w:val="28"/>
              </w:rPr>
              <w:t>3. Standard / optional configuration</w:t>
            </w:r>
          </w:p>
        </w:tc>
      </w:tr>
      <w:tr w14:paraId="5BDB01AC">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645" w:hRule="atLeast"/>
        </w:trPr>
        <w:tc>
          <w:tcPr>
            <w:tcW w:w="1926" w:type="dxa"/>
            <w:tcBorders>
              <w:left w:val="single" w:color="FFFFFF" w:sz="6" w:space="0"/>
            </w:tcBorders>
            <w:shd w:val="clear" w:color="auto" w:fill="F2F2F2"/>
            <w:vAlign w:val="top"/>
          </w:tcPr>
          <w:p w14:paraId="505DA12A">
            <w:pPr>
              <w:pStyle w:val="5"/>
              <w:spacing w:before="249" w:line="179" w:lineRule="auto"/>
              <w:ind w:left="910"/>
            </w:pPr>
            <w:r>
              <w:rPr>
                <w:b/>
                <w:bCs/>
              </w:rPr>
              <w:t>1</w:t>
            </w:r>
          </w:p>
        </w:tc>
        <w:tc>
          <w:tcPr>
            <w:tcW w:w="12597" w:type="dxa"/>
            <w:tcBorders>
              <w:right w:val="nil"/>
            </w:tcBorders>
            <w:shd w:val="clear" w:color="auto" w:fill="F2F2F2"/>
            <w:vAlign w:val="top"/>
          </w:tcPr>
          <w:p w14:paraId="04AEC8C0">
            <w:pPr>
              <w:pStyle w:val="5"/>
              <w:spacing w:before="194" w:line="239" w:lineRule="auto"/>
              <w:ind w:left="100"/>
              <w:rPr>
                <w:highlight w:val="yellow"/>
              </w:rPr>
            </w:pPr>
            <w:r>
              <w:rPr>
                <w:b/>
                <w:bCs/>
                <w:color w:val="0070C0"/>
                <w:highlight w:val="yellow"/>
              </w:rPr>
              <w:t>One iPad, one platform (no use)</w:t>
            </w:r>
          </w:p>
        </w:tc>
      </w:tr>
      <w:tr w14:paraId="77A1E05F">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645" w:hRule="atLeast"/>
        </w:trPr>
        <w:tc>
          <w:tcPr>
            <w:tcW w:w="1926" w:type="dxa"/>
            <w:tcBorders>
              <w:left w:val="single" w:color="FFFFFF" w:sz="6" w:space="0"/>
            </w:tcBorders>
            <w:shd w:val="clear" w:color="auto" w:fill="F2F2F2"/>
            <w:vAlign w:val="top"/>
          </w:tcPr>
          <w:p w14:paraId="03C517C2">
            <w:pPr>
              <w:pStyle w:val="5"/>
              <w:spacing w:before="251" w:line="179" w:lineRule="auto"/>
              <w:ind w:left="902"/>
            </w:pPr>
            <w:r>
              <w:rPr>
                <w:b/>
                <w:bCs/>
              </w:rPr>
              <w:t>2</w:t>
            </w:r>
          </w:p>
        </w:tc>
        <w:tc>
          <w:tcPr>
            <w:tcW w:w="12597" w:type="dxa"/>
            <w:tcBorders>
              <w:right w:val="nil"/>
            </w:tcBorders>
            <w:shd w:val="clear" w:color="auto" w:fill="F2F2F2"/>
            <w:vAlign w:val="top"/>
          </w:tcPr>
          <w:p w14:paraId="19D541BA">
            <w:pPr>
              <w:pStyle w:val="5"/>
              <w:spacing w:before="235" w:line="191" w:lineRule="auto"/>
              <w:ind w:left="91"/>
            </w:pPr>
            <w:r>
              <w:rPr>
                <w:b/>
                <w:bCs/>
                <w:color w:val="auto"/>
                <w:spacing w:val="9"/>
              </w:rPr>
              <w:t>An ultrasound host</w:t>
            </w:r>
          </w:p>
        </w:tc>
      </w:tr>
      <w:tr w14:paraId="3A59A453">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645" w:hRule="atLeast"/>
        </w:trPr>
        <w:tc>
          <w:tcPr>
            <w:tcW w:w="1926" w:type="dxa"/>
            <w:tcBorders>
              <w:left w:val="single" w:color="FFFFFF" w:sz="6" w:space="0"/>
            </w:tcBorders>
            <w:shd w:val="clear" w:color="auto" w:fill="F2F2F2"/>
            <w:vAlign w:val="top"/>
          </w:tcPr>
          <w:p w14:paraId="216E6A90">
            <w:pPr>
              <w:pStyle w:val="5"/>
              <w:spacing w:before="252" w:line="179" w:lineRule="auto"/>
              <w:ind w:left="907"/>
            </w:pPr>
            <w:r>
              <w:rPr>
                <w:b/>
                <w:bCs/>
              </w:rPr>
              <w:t>3</w:t>
            </w:r>
          </w:p>
        </w:tc>
        <w:tc>
          <w:tcPr>
            <w:tcW w:w="12597" w:type="dxa"/>
            <w:tcBorders>
              <w:right w:val="nil"/>
            </w:tcBorders>
            <w:shd w:val="clear" w:color="auto" w:fill="F2F2F2"/>
            <w:vAlign w:val="top"/>
          </w:tcPr>
          <w:p w14:paraId="5448FDE1">
            <w:pPr>
              <w:pStyle w:val="5"/>
              <w:spacing w:before="240" w:line="189" w:lineRule="auto"/>
              <w:ind w:left="94"/>
            </w:pPr>
            <w:r>
              <w:rPr>
                <w:b/>
                <w:bCs/>
                <w:color w:val="auto"/>
                <w:spacing w:val="3"/>
              </w:rPr>
              <w:t>1 professional protective box</w:t>
            </w:r>
          </w:p>
        </w:tc>
      </w:tr>
      <w:tr w14:paraId="21E9A41F">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645" w:hRule="atLeast"/>
        </w:trPr>
        <w:tc>
          <w:tcPr>
            <w:tcW w:w="1926" w:type="dxa"/>
            <w:tcBorders>
              <w:left w:val="single" w:color="FFFFFF" w:sz="6" w:space="0"/>
            </w:tcBorders>
            <w:shd w:val="clear" w:color="auto" w:fill="F2F2F2"/>
            <w:vAlign w:val="top"/>
          </w:tcPr>
          <w:p w14:paraId="1FA24F0B">
            <w:pPr>
              <w:pStyle w:val="5"/>
              <w:spacing w:before="257" w:line="177" w:lineRule="auto"/>
              <w:ind w:left="895"/>
            </w:pPr>
            <w:r>
              <w:rPr>
                <w:b/>
                <w:bCs/>
                <w:spacing w:val="2"/>
              </w:rPr>
              <w:t>4</w:t>
            </w:r>
          </w:p>
        </w:tc>
        <w:tc>
          <w:tcPr>
            <w:tcW w:w="12597" w:type="dxa"/>
            <w:tcBorders>
              <w:right w:val="nil"/>
            </w:tcBorders>
            <w:shd w:val="clear" w:color="auto" w:fill="F2F2F2"/>
            <w:vAlign w:val="top"/>
          </w:tcPr>
          <w:p w14:paraId="128D82F3">
            <w:pPr>
              <w:pStyle w:val="5"/>
              <w:spacing w:before="200" w:line="239" w:lineRule="auto"/>
              <w:ind w:left="100"/>
            </w:pPr>
            <w:r>
              <w:rPr>
                <w:b/>
                <w:bCs/>
                <w:color w:val="00B0F0"/>
                <w:spacing w:val="8"/>
                <w:highlight w:val="yellow"/>
              </w:rPr>
              <w:t>One for the iPad platform charger (no use)</w:t>
            </w:r>
          </w:p>
        </w:tc>
      </w:tr>
      <w:tr w14:paraId="18D413C2">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657" w:hRule="atLeast"/>
        </w:trPr>
        <w:tc>
          <w:tcPr>
            <w:tcW w:w="1926" w:type="dxa"/>
            <w:tcBorders>
              <w:left w:val="single" w:color="FFFFFF" w:sz="6" w:space="0"/>
            </w:tcBorders>
            <w:shd w:val="clear" w:color="auto" w:fill="F2F2F2"/>
            <w:vAlign w:val="top"/>
          </w:tcPr>
          <w:p w14:paraId="226CDFA5">
            <w:pPr>
              <w:pStyle w:val="5"/>
              <w:spacing w:before="259" w:line="177" w:lineRule="auto"/>
              <w:ind w:left="908"/>
              <w:rPr>
                <w:color w:val="auto"/>
              </w:rPr>
            </w:pPr>
            <w:r>
              <w:rPr>
                <w:b/>
                <w:bCs/>
                <w:color w:val="auto"/>
              </w:rPr>
              <w:t>5</w:t>
            </w:r>
          </w:p>
        </w:tc>
        <w:tc>
          <w:tcPr>
            <w:tcW w:w="12597" w:type="dxa"/>
            <w:tcBorders>
              <w:right w:val="nil"/>
            </w:tcBorders>
            <w:shd w:val="clear" w:color="auto" w:fill="F2F2F2"/>
            <w:vAlign w:val="top"/>
          </w:tcPr>
          <w:p w14:paraId="6092559B">
            <w:pPr>
              <w:pStyle w:val="5"/>
              <w:spacing w:before="243" w:line="190" w:lineRule="auto"/>
              <w:ind w:left="91"/>
              <w:rPr>
                <w:color w:val="auto"/>
              </w:rPr>
            </w:pPr>
            <w:r>
              <w:rPr>
                <w:b/>
                <w:bCs/>
                <w:color w:val="auto"/>
                <w:spacing w:val="9"/>
              </w:rPr>
              <w:t>Ultrasonic main engine charger for one</w:t>
            </w:r>
          </w:p>
        </w:tc>
      </w:tr>
    </w:tbl>
    <w:p w14:paraId="4DA7B3F2">
      <w:pPr>
        <w:rPr>
          <w:rFonts w:ascii="Arial"/>
          <w:sz w:val="21"/>
        </w:rPr>
      </w:pPr>
    </w:p>
    <w:p w14:paraId="24AD8349">
      <w:pPr>
        <w:rPr>
          <w:rFonts w:ascii="Arial" w:hAnsi="Arial" w:eastAsia="Arial" w:cs="Arial"/>
          <w:sz w:val="21"/>
          <w:szCs w:val="21"/>
        </w:rPr>
        <w:sectPr>
          <w:pgSz w:w="16839" w:h="11906"/>
          <w:pgMar w:top="1012" w:right="984" w:bottom="0" w:left="1322" w:header="0" w:footer="0" w:gutter="0"/>
          <w:cols w:space="720" w:num="1"/>
        </w:sectPr>
      </w:pPr>
    </w:p>
    <w:p w14:paraId="291C0C2D">
      <w:pPr>
        <w:spacing w:before="20"/>
      </w:pPr>
    </w:p>
    <w:p w14:paraId="46062D89">
      <w:pPr>
        <w:spacing w:before="20"/>
      </w:pPr>
    </w:p>
    <w:p w14:paraId="4D68F1DA">
      <w:pPr>
        <w:spacing w:before="20"/>
      </w:pPr>
    </w:p>
    <w:tbl>
      <w:tblPr>
        <w:tblStyle w:val="4"/>
        <w:tblW w:w="14524" w:type="dxa"/>
        <w:tblInd w:w="7" w:type="dxa"/>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Layout w:type="fixed"/>
        <w:tblCellMar>
          <w:top w:w="0" w:type="dxa"/>
          <w:left w:w="0" w:type="dxa"/>
          <w:bottom w:w="0" w:type="dxa"/>
          <w:right w:w="0" w:type="dxa"/>
        </w:tblCellMar>
      </w:tblPr>
      <w:tblGrid>
        <w:gridCol w:w="14524"/>
      </w:tblGrid>
      <w:tr w14:paraId="059349BB">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659" w:hRule="atLeast"/>
        </w:trPr>
        <w:tc>
          <w:tcPr>
            <w:tcW w:w="14524" w:type="dxa"/>
            <w:tcBorders>
              <w:left w:val="single" w:color="FFFFFF" w:sz="6" w:space="0"/>
              <w:right w:val="nil"/>
            </w:tcBorders>
            <w:shd w:val="clear" w:color="auto" w:fill="95B3D7"/>
            <w:vAlign w:val="top"/>
          </w:tcPr>
          <w:p w14:paraId="6E2E11D9">
            <w:pPr>
              <w:pStyle w:val="5"/>
              <w:spacing w:before="199" w:line="183" w:lineRule="auto"/>
              <w:ind w:left="119"/>
              <w:rPr>
                <w:rFonts w:hint="default" w:eastAsia="微软雅黑"/>
                <w:sz w:val="28"/>
                <w:szCs w:val="28"/>
                <w:lang w:val="en-US" w:eastAsia="zh-CN"/>
              </w:rPr>
            </w:pPr>
            <w:r>
              <w:rPr>
                <w:rFonts w:hint="eastAsia"/>
                <w:b/>
                <w:bCs/>
                <w:color w:val="FFFFFF"/>
                <w:sz w:val="28"/>
                <w:szCs w:val="28"/>
                <w:lang w:val="en-US" w:eastAsia="zh-CN"/>
              </w:rPr>
              <w:t>4. field operations</w:t>
            </w:r>
          </w:p>
        </w:tc>
      </w:tr>
      <w:tr w14:paraId="1995EBE5">
        <w:tblPrEx>
          <w:tblBorders>
            <w:top w:val="single" w:color="FFFFFF" w:sz="10" w:space="0"/>
            <w:left w:val="single" w:color="FFFFFF" w:sz="10" w:space="0"/>
            <w:bottom w:val="single" w:color="FFFFFF" w:sz="10" w:space="0"/>
            <w:right w:val="single" w:color="FFFFFF" w:sz="10" w:space="0"/>
            <w:insideH w:val="single" w:color="FFFFFF" w:sz="10" w:space="0"/>
            <w:insideV w:val="single" w:color="FFFFFF" w:sz="10" w:space="0"/>
          </w:tblBorders>
          <w:tblCellMar>
            <w:top w:w="0" w:type="dxa"/>
            <w:left w:w="0" w:type="dxa"/>
            <w:bottom w:w="0" w:type="dxa"/>
            <w:right w:w="0" w:type="dxa"/>
          </w:tblCellMar>
        </w:tblPrEx>
        <w:trPr>
          <w:trHeight w:val="7512" w:hRule="atLeast"/>
        </w:trPr>
        <w:tc>
          <w:tcPr>
            <w:tcW w:w="14524" w:type="dxa"/>
            <w:tcBorders>
              <w:left w:val="single" w:color="FFFFFF" w:sz="6" w:space="0"/>
              <w:right w:val="nil"/>
            </w:tcBorders>
            <w:shd w:val="clear" w:color="auto" w:fill="F2F2F2"/>
            <w:vAlign w:val="top"/>
          </w:tcPr>
          <w:p w14:paraId="4A8BD5E9">
            <w:pPr>
              <w:spacing w:before="81" w:line="6667" w:lineRule="exact"/>
              <w:ind w:firstLine="2560"/>
            </w:pPr>
            <w:r>
              <w:rPr>
                <w:position w:val="-133"/>
              </w:rPr>
              <w:drawing>
                <wp:inline distT="0" distB="0" distL="0" distR="0">
                  <wp:extent cx="5944870" cy="423354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5945123" cy="4233671"/>
                          </a:xfrm>
                          <a:prstGeom prst="rect">
                            <a:avLst/>
                          </a:prstGeom>
                        </pic:spPr>
                      </pic:pic>
                    </a:graphicData>
                  </a:graphic>
                </wp:inline>
              </w:drawing>
            </w:r>
          </w:p>
          <w:p w14:paraId="6FC08A9B">
            <w:pPr>
              <w:spacing w:before="280" w:line="219" w:lineRule="auto"/>
              <w:ind w:left="6422"/>
              <w:rPr>
                <w:rFonts w:ascii="宋体" w:hAnsi="宋体" w:eastAsia="宋体" w:cs="宋体"/>
                <w:sz w:val="28"/>
                <w:szCs w:val="28"/>
              </w:rPr>
            </w:pPr>
          </w:p>
        </w:tc>
      </w:tr>
    </w:tbl>
    <w:p w14:paraId="315DD1F7">
      <w:pPr>
        <w:rPr>
          <w:rFonts w:ascii="Arial"/>
          <w:sz w:val="21"/>
        </w:rPr>
      </w:pPr>
    </w:p>
    <w:p w14:paraId="056F1127">
      <w:pPr>
        <w:rPr>
          <w:rFonts w:ascii="Arial" w:hAnsi="Arial" w:eastAsia="Arial" w:cs="Arial"/>
          <w:sz w:val="21"/>
          <w:szCs w:val="21"/>
        </w:rPr>
        <w:sectPr>
          <w:pgSz w:w="16839" w:h="11906"/>
          <w:pgMar w:top="1012" w:right="984" w:bottom="0" w:left="1322" w:header="0" w:footer="0" w:gutter="0"/>
          <w:cols w:space="720" w:num="1"/>
        </w:sectPr>
      </w:pPr>
    </w:p>
    <w:p w14:paraId="2E9F846A">
      <w:pPr>
        <w:spacing w:before="20"/>
      </w:pPr>
    </w:p>
    <w:p w14:paraId="7C994F03">
      <w:pPr>
        <w:spacing w:before="20"/>
      </w:pPr>
    </w:p>
    <w:p w14:paraId="2ADD288D">
      <w:pPr>
        <w:spacing w:before="20"/>
      </w:pPr>
    </w:p>
    <w:tbl>
      <w:tblPr>
        <w:tblStyle w:val="4"/>
        <w:tblW w:w="14523" w:type="dxa"/>
        <w:tblInd w:w="7" w:type="dxa"/>
        <w:tblBorders>
          <w:top w:val="single" w:color="FFFFFF" w:sz="10" w:space="0"/>
          <w:left w:val="single" w:color="FFFFFF" w:sz="6" w:space="0"/>
          <w:bottom w:val="single" w:color="FFFFFF" w:sz="10" w:space="0"/>
          <w:right w:val="none" w:color="auto" w:sz="0" w:space="0"/>
          <w:insideH w:val="none" w:color="auto" w:sz="0" w:space="0"/>
          <w:insideV w:val="none" w:color="auto" w:sz="0" w:space="0"/>
        </w:tblBorders>
        <w:shd w:val="clear" w:color="auto" w:fill="F2F2F2"/>
        <w:tblLayout w:type="fixed"/>
        <w:tblCellMar>
          <w:top w:w="0" w:type="dxa"/>
          <w:left w:w="0" w:type="dxa"/>
          <w:bottom w:w="0" w:type="dxa"/>
          <w:right w:w="0" w:type="dxa"/>
        </w:tblCellMar>
      </w:tblPr>
      <w:tblGrid>
        <w:gridCol w:w="14523"/>
      </w:tblGrid>
      <w:tr w14:paraId="64C75BDB">
        <w:tblPrEx>
          <w:tblBorders>
            <w:top w:val="single" w:color="FFFFFF" w:sz="10" w:space="0"/>
            <w:left w:val="single" w:color="FFFFFF" w:sz="6" w:space="0"/>
            <w:bottom w:val="single" w:color="FFFFFF" w:sz="10" w:space="0"/>
            <w:right w:val="none" w:color="auto" w:sz="0" w:space="0"/>
            <w:insideH w:val="none" w:color="auto" w:sz="0" w:space="0"/>
            <w:insideV w:val="none" w:color="auto" w:sz="0" w:space="0"/>
          </w:tblBorders>
          <w:shd w:val="clear" w:color="auto" w:fill="F2F2F2"/>
          <w:tblCellMar>
            <w:top w:w="0" w:type="dxa"/>
            <w:left w:w="0" w:type="dxa"/>
            <w:bottom w:w="0" w:type="dxa"/>
            <w:right w:w="0" w:type="dxa"/>
          </w:tblCellMar>
        </w:tblPrEx>
        <w:trPr>
          <w:trHeight w:val="7808" w:hRule="atLeast"/>
        </w:trPr>
        <w:tc>
          <w:tcPr>
            <w:tcW w:w="14523" w:type="dxa"/>
            <w:shd w:val="clear" w:color="auto" w:fill="F2F2F2"/>
            <w:vAlign w:val="top"/>
          </w:tcPr>
          <w:p w14:paraId="6951980C">
            <w:pPr>
              <w:spacing w:line="431" w:lineRule="auto"/>
              <w:rPr>
                <w:rFonts w:ascii="Arial"/>
                <w:sz w:val="21"/>
              </w:rPr>
            </w:pPr>
          </w:p>
          <w:p w14:paraId="1B52C4F2">
            <w:pPr>
              <w:spacing w:line="6617" w:lineRule="exact"/>
              <w:ind w:firstLine="2829"/>
            </w:pPr>
            <w:r>
              <w:rPr>
                <w:position w:val="-132"/>
              </w:rPr>
              <w:drawing>
                <wp:inline distT="0" distB="0" distL="0" distR="0">
                  <wp:extent cx="5610860" cy="420116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
                          <a:stretch>
                            <a:fillRect/>
                          </a:stretch>
                        </pic:blipFill>
                        <pic:spPr>
                          <a:xfrm>
                            <a:off x="0" y="0"/>
                            <a:ext cx="5611368" cy="4201667"/>
                          </a:xfrm>
                          <a:prstGeom prst="rect">
                            <a:avLst/>
                          </a:prstGeom>
                        </pic:spPr>
                      </pic:pic>
                    </a:graphicData>
                  </a:graphic>
                </wp:inline>
              </w:drawing>
            </w:r>
          </w:p>
          <w:p w14:paraId="1037082A">
            <w:pPr>
              <w:spacing w:before="302" w:line="219" w:lineRule="auto"/>
              <w:ind w:left="5648"/>
              <w:rPr>
                <w:rFonts w:ascii="宋体" w:hAnsi="宋体" w:eastAsia="宋体" w:cs="宋体"/>
                <w:sz w:val="28"/>
                <w:szCs w:val="28"/>
              </w:rPr>
            </w:pPr>
          </w:p>
        </w:tc>
      </w:tr>
    </w:tbl>
    <w:p w14:paraId="27DD96DC">
      <w:pPr>
        <w:rPr>
          <w:rFonts w:ascii="Arial"/>
          <w:sz w:val="21"/>
        </w:rPr>
      </w:pPr>
    </w:p>
    <w:sectPr>
      <w:pgSz w:w="16839" w:h="11906"/>
      <w:pgMar w:top="1012" w:right="984" w:bottom="0" w:left="1322"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UwZjhiNjAzMjc1MjkxZDFkNGY4NWYzZjk2MWJlMzkifQ=="/>
  </w:docVars>
  <w:rsids>
    <w:rsidRoot w:val="00000000"/>
    <w:rsid w:val="18387CA9"/>
    <w:rsid w:val="1F27095D"/>
    <w:rsid w:val="3ECF2A3F"/>
    <w:rsid w:val="54193E82"/>
    <w:rsid w:val="603253C3"/>
    <w:rsid w:val="62014929"/>
    <w:rsid w:val="69C222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微软雅黑" w:hAnsi="微软雅黑" w:eastAsia="微软雅黑" w:cs="微软雅黑"/>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405</Words>
  <Characters>2135</Characters>
  <TotalTime>37</TotalTime>
  <ScaleCrop>false</ScaleCrop>
  <LinksUpToDate>false</LinksUpToDate>
  <CharactersWithSpaces>2483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2023-09-21T10:35:00Z</dcterms:created>
  <dc:creator>wangjia</dc:creator>
  <cp:lastModifiedBy>Wendy</cp:lastModifiedBy>
  <dcterms:modified xsi:type="dcterms:W3CDTF">2026-04-09T07:28:56Z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2024-03-21T14:12:58Z</vt:filetime>
  </property>
  <property fmtid="{D5CDD505-2E9C-101B-9397-08002B2CF9AE}" pid="4" name="KSOProductBuildVer">
    <vt:lpwstr>2052-12.1.0.25225</vt:lpwstr>
  </property>
  <property fmtid="{D5CDD505-2E9C-101B-9397-08002B2CF9AE}" pid="5" name="ICV">
    <vt:lpwstr>09175A013B0B4DC1B46D4DB4861E9EAD_12</vt:lpwstr>
  </property>
</Properties>
</file>